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First Grade Supply 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 Set of Headphones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 Boxes of 24 count Crayola Crayons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 Highlighters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 Expo Markers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Package Ticonderoga Pencils(Regular size pencils not Jumbo)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 pair child’s safety scissors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 package Crayola Markers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 package Crayola Colored Pencils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 Elmers Glue Sticks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 Large Pink Pearl Erasers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 Travel Soap container for crayons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 Rectangular Pencil Box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 Boxes of Kleenex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Girls - 1 Box of Gallon Zip Lock Bags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Boys - 1 Box of Quart Zip Lock Bags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Water Bottle with child’s name on it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 Plastic Pocket Folders without brads in center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